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9CC" w:rsidRPr="0052548E" w:rsidRDefault="001D09CC" w:rsidP="001D09C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12329D">
        <w:rPr>
          <w:rFonts w:ascii="Arial" w:eastAsia="MS Mincho" w:hAnsi="Arial" w:cs="Arial"/>
          <w:b/>
          <w:bCs/>
          <w:sz w:val="28"/>
          <w:lang w:eastAsia="ja-JP"/>
        </w:rPr>
        <w:t>0</w:t>
      </w:r>
      <w:r>
        <w:rPr>
          <w:rFonts w:ascii="Arial" w:eastAsia="MS Mincho" w:hAnsi="Arial" w:cs="Arial"/>
          <w:b/>
          <w:bCs/>
          <w:sz w:val="28"/>
          <w:lang w:eastAsia="ja-JP"/>
        </w:rPr>
        <w:t>90</w:t>
      </w:r>
      <w:r w:rsidR="0012329D">
        <w:rPr>
          <w:rFonts w:ascii="Arial" w:eastAsia="MS Mincho" w:hAnsi="Arial" w:cs="Arial"/>
          <w:b/>
          <w:bCs/>
          <w:sz w:val="28"/>
          <w:lang w:eastAsia="ja-JP"/>
        </w:rPr>
        <w:t>58</w:t>
      </w:r>
    </w:p>
    <w:p w:rsidR="001D09CC" w:rsidRPr="009513AC" w:rsidRDefault="001D09CC" w:rsidP="001D09CC">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440FE">
        <w:rPr>
          <w:rFonts w:ascii="Arial" w:hAnsi="Arial"/>
          <w:sz w:val="24"/>
        </w:rPr>
        <w:t>7.4.3</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B207B">
        <w:rPr>
          <w:rFonts w:ascii="Arial" w:hAnsi="Arial"/>
          <w:sz w:val="22"/>
        </w:rPr>
        <w:t>O</w:t>
      </w:r>
      <w:r w:rsidR="008440FE">
        <w:rPr>
          <w:rFonts w:ascii="Arial" w:hAnsi="Arial"/>
          <w:sz w:val="22"/>
        </w:rPr>
        <w:t>n NOMA Procedures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8E56BA"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8E56BA">
        <w:rPr>
          <w:rFonts w:ascii="Times New Roman" w:eastAsia="Times New Roman" w:hAnsi="Times New Roman"/>
          <w:bCs/>
          <w:i/>
          <w:sz w:val="24"/>
          <w:szCs w:val="24"/>
          <w:lang w:eastAsia="zh-CN"/>
        </w:rPr>
        <w:t>Transmitter side signal processing schemes for non-orthogonal multiple access [RAN1]:</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Modulation and symbol level processing, including spreading, repetition, interleaving, new constellation mapping,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Coded bit level processing including interleaving and/or scrambling,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Symbol to resource element mapping, sparse or not,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8E56BA"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8E56BA">
        <w:rPr>
          <w:rFonts w:ascii="Times New Roman" w:eastAsia="Times New Roman" w:hAnsi="Times New Roman"/>
          <w:b/>
          <w:bCs/>
          <w:i/>
          <w:sz w:val="24"/>
          <w:szCs w:val="24"/>
          <w:lang w:eastAsia="zh-CN"/>
        </w:rPr>
        <w:t>Procedures related to the non-orthogonal multiple access  [RAN1]</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UL transmission detection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HARQ, including transmission scheme, feedback scheme, and combining scheme</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Link adaptation MA signature allocation/selection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Synchronous and asynchronous operation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 xml:space="preserve">continued from performance metrics identified from Rel-14. The </w:t>
      </w:r>
      <w:r w:rsidRPr="00D163CE">
        <w:rPr>
          <w:rFonts w:ascii="Times New Roman" w:eastAsia="Times New Roman" w:hAnsi="Times New Roman"/>
          <w:i/>
          <w:sz w:val="24"/>
          <w:szCs w:val="24"/>
          <w:lang w:eastAsia="zh-CN"/>
        </w:rPr>
        <w:lastRenderedPageBreak/>
        <w:t>benchmark for comparison is</w:t>
      </w:r>
      <w:r w:rsidRPr="00D163CE">
        <w:rPr>
          <w:rFonts w:ascii="Times New Roman" w:eastAsia="SimSun" w:hAnsi="Times New Roman"/>
          <w:i/>
          <w:sz w:val="24"/>
          <w:szCs w:val="24"/>
          <w:lang w:eastAsia="zh-CN"/>
        </w:rPr>
        <w:t xml:space="preserve"> OFDM contention based multiple access. Realistic 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8E56BA">
        <w:rPr>
          <w:bCs/>
          <w:sz w:val="24"/>
          <w:szCs w:val="24"/>
          <w:lang w:eastAsia="zh-CN"/>
        </w:rPr>
        <w:t>ibution, we provide details on NOMA procedures.</w:t>
      </w:r>
      <w:r w:rsidR="00915366">
        <w:rPr>
          <w:bCs/>
          <w:sz w:val="24"/>
          <w:szCs w:val="24"/>
          <w:lang w:eastAsia="zh-CN"/>
        </w:rPr>
        <w:t xml:space="preserve"> Note that we focus mainly on grant based technique as envision NOMA should be applicable for all scenarios rather than only limited scenarios. </w:t>
      </w:r>
    </w:p>
    <w:p w:rsidR="002224D7" w:rsidRDefault="008E56BA" w:rsidP="00215DBE">
      <w:pPr>
        <w:pStyle w:val="Heading1"/>
      </w:pPr>
      <w:r>
        <w:rPr>
          <w:lang w:val="en-US"/>
        </w:rPr>
        <w:t xml:space="preserve">Adaptation between NOMA and Orthogonal Transmission </w:t>
      </w:r>
    </w:p>
    <w:p w:rsidR="003A5AA0" w:rsidRDefault="00783699" w:rsidP="00301634">
      <w:pPr>
        <w:jc w:val="both"/>
        <w:rPr>
          <w:sz w:val="24"/>
          <w:szCs w:val="24"/>
          <w:lang w:val="en-GB"/>
        </w:rPr>
      </w:pPr>
      <w:r>
        <w:rPr>
          <w:sz w:val="24"/>
          <w:szCs w:val="24"/>
          <w:lang w:val="en-GB"/>
        </w:rPr>
        <w:t>Assuming the following structure as shown in Figure 1 is used for NOMA transmitter, where the data symbols are spread, we prefer to have a solution where the network can indicate to the UE to choose between NOMA and OM</w:t>
      </w:r>
      <w:r w:rsidR="00D31B2D">
        <w:rPr>
          <w:sz w:val="24"/>
          <w:szCs w:val="24"/>
          <w:lang w:val="en-GB"/>
        </w:rPr>
        <w:t>A (orthogonal multiple access). This is because NOMA may not be useful in the all the scenarios.</w:t>
      </w:r>
      <w:r w:rsidR="00E54F5A">
        <w:rPr>
          <w:sz w:val="24"/>
          <w:szCs w:val="24"/>
          <w:lang w:val="en-GB"/>
        </w:rPr>
        <w:t xml:space="preserve">  As a joint framework for NOMA and OMA, we propose that the network should indicate this information via spreading factor in the downlink control channel. Note that this is applicable for grant based transmissions.  For example, if the spreading factor is equal to 1, then it indicates to the UE that the network uses OMA based technique for this UE, while SF &gt;1 is an indication of NOMA. This will benefit the scheduler when to choose NOMA and when to choose OMA.</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r w:rsidR="00E936C7">
        <w:rPr>
          <w:noProof/>
        </w:rPr>
        <w:fldChar w:fldCharType="begin"/>
      </w:r>
      <w:r w:rsidR="00E936C7">
        <w:rPr>
          <w:noProof/>
        </w:rPr>
        <w:instrText xml:space="preserve"> SEQ Figur \* ARABIC </w:instrText>
      </w:r>
      <w:r w:rsidR="00E936C7">
        <w:rPr>
          <w:noProof/>
        </w:rPr>
        <w:fldChar w:fldCharType="separate"/>
      </w:r>
      <w:r>
        <w:rPr>
          <w:noProof/>
        </w:rPr>
        <w:t>1</w:t>
      </w:r>
      <w:r w:rsidR="00E936C7">
        <w:rPr>
          <w:noProof/>
        </w:rPr>
        <w:fldChar w:fldCharType="end"/>
      </w:r>
      <w:r>
        <w:t xml:space="preserve"> Transmission chain for NOMA</w:t>
      </w:r>
    </w:p>
    <w:p w:rsidR="003A5AA0" w:rsidRDefault="003A5AA0" w:rsidP="003A5AA0">
      <w:pPr>
        <w:rPr>
          <w:b/>
          <w:sz w:val="24"/>
        </w:rPr>
      </w:pPr>
      <w:r w:rsidRPr="00AD2BEA">
        <w:rPr>
          <w:b/>
          <w:sz w:val="24"/>
        </w:rPr>
        <w:t>Proposal</w:t>
      </w:r>
      <w:r>
        <w:rPr>
          <w:b/>
          <w:sz w:val="24"/>
        </w:rPr>
        <w:t xml:space="preserve"> 1:  </w:t>
      </w:r>
      <w:r w:rsidR="00E54F5A">
        <w:rPr>
          <w:b/>
          <w:sz w:val="24"/>
        </w:rPr>
        <w:t xml:space="preserve">For grant based transmissions, spreading factor should </w:t>
      </w:r>
      <w:r w:rsidR="00912343">
        <w:rPr>
          <w:b/>
          <w:sz w:val="24"/>
        </w:rPr>
        <w:t>be indicated</w:t>
      </w:r>
      <w:r w:rsidR="00E54F5A">
        <w:rPr>
          <w:b/>
          <w:sz w:val="24"/>
        </w:rPr>
        <w:t xml:space="preserve"> in the downlink control </w:t>
      </w:r>
      <w:r w:rsidR="00912343">
        <w:rPr>
          <w:b/>
          <w:sz w:val="24"/>
        </w:rPr>
        <w:t>channel for</w:t>
      </w:r>
      <w:r w:rsidR="00E54F5A">
        <w:rPr>
          <w:b/>
          <w:sz w:val="24"/>
        </w:rPr>
        <w:t xml:space="preserve"> smooth transition between NOMA and OMA</w:t>
      </w:r>
    </w:p>
    <w:p w:rsidR="00FA3A38" w:rsidRDefault="00783699" w:rsidP="00FA3A38">
      <w:pPr>
        <w:pStyle w:val="Heading1"/>
      </w:pPr>
      <w:r>
        <w:rPr>
          <w:lang w:val="en-US"/>
        </w:rPr>
        <w:t>Link Adaptation for NOMA</w:t>
      </w:r>
      <w:r w:rsidR="005F5186">
        <w:rPr>
          <w:lang w:val="en-US"/>
        </w:rPr>
        <w:t xml:space="preserve"> </w:t>
      </w:r>
    </w:p>
    <w:p w:rsidR="00F7269C" w:rsidRDefault="00783699" w:rsidP="00F7269C">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Another interesting procedure is how to perform link adaptation for NOMA applications. Since MMSE SINR is well known expression, the conventional LA is done by assuming a MMSE receiver. However with NOMA either using a joint MAP receiver or SIC receiver, there is no closed form expression for SINR. </w:t>
      </w:r>
      <w:r w:rsidR="00F91FD1">
        <w:rPr>
          <w:rFonts w:ascii="Times New Roman" w:hAnsi="Times New Roman"/>
          <w:color w:val="000000" w:themeColor="text1"/>
          <w:sz w:val="24"/>
          <w:szCs w:val="24"/>
        </w:rPr>
        <w:t xml:space="preserve"> In this section, we outline a technique for computing the SINR of advanced receiver such as MLD/MAP detectors. </w:t>
      </w:r>
    </w:p>
    <w:p w:rsidR="00F12339" w:rsidRDefault="00F12339" w:rsidP="00F7269C">
      <w:pPr>
        <w:pStyle w:val="Text"/>
        <w:jc w:val="both"/>
        <w:rPr>
          <w:rFonts w:ascii="Times New Roman" w:hAnsi="Times New Roman"/>
          <w:color w:val="000000" w:themeColor="text1"/>
          <w:sz w:val="24"/>
          <w:szCs w:val="24"/>
        </w:rPr>
      </w:pPr>
    </w:p>
    <w:p w:rsidR="00F12339" w:rsidRDefault="00F12339" w:rsidP="00F7269C">
      <w:pPr>
        <w:pStyle w:val="Text"/>
        <w:jc w:val="both"/>
        <w:rPr>
          <w:rFonts w:ascii="Times New Roman" w:hAnsi="Times New Roman"/>
          <w:color w:val="000000" w:themeColor="text1"/>
          <w:sz w:val="24"/>
          <w:szCs w:val="24"/>
        </w:rPr>
      </w:pPr>
    </w:p>
    <w:p w:rsidR="00F12339" w:rsidRDefault="00F12339" w:rsidP="00F7269C">
      <w:pPr>
        <w:pStyle w:val="Text"/>
        <w:jc w:val="both"/>
        <w:rPr>
          <w:rFonts w:ascii="Times New Roman" w:hAnsi="Times New Roman"/>
          <w:color w:val="000000" w:themeColor="text1"/>
          <w:sz w:val="24"/>
          <w:szCs w:val="24"/>
        </w:rPr>
      </w:pPr>
    </w:p>
    <w:p w:rsidR="00F7269C" w:rsidRDefault="00F7269C" w:rsidP="00F7269C">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1. Compute the soft bits from the output of the joint detector such as MLD/MAP</w:t>
      </w:r>
    </w:p>
    <w:p w:rsidR="00F7269C" w:rsidRPr="00F7269C" w:rsidRDefault="00F7269C" w:rsidP="00F7269C">
      <w:pPr>
        <w:pStyle w:val="Text"/>
        <w:jc w:val="both"/>
        <w:rPr>
          <w:rFonts w:ascii="Times New Roman" w:hAnsi="Times New Roman"/>
          <w:color w:val="000000" w:themeColor="text1"/>
          <w:sz w:val="24"/>
          <w:szCs w:val="24"/>
        </w:rPr>
      </w:pPr>
      <w:r w:rsidRPr="00F7269C">
        <w:rPr>
          <w:rFonts w:ascii="Times New Roman" w:hAnsi="Times New Roman"/>
          <w:color w:val="000000" w:themeColor="text1"/>
          <w:sz w:val="24"/>
          <w:szCs w:val="24"/>
        </w:rPr>
        <w:t xml:space="preserve">2. From soft bits </w:t>
      </w:r>
      <w:r>
        <w:rPr>
          <w:rFonts w:ascii="Times New Roman" w:hAnsi="Times New Roman"/>
          <w:color w:val="000000" w:themeColor="text1"/>
          <w:sz w:val="24"/>
          <w:szCs w:val="24"/>
        </w:rPr>
        <w:t>compute the</w:t>
      </w:r>
      <w:r w:rsidRPr="00F7269C">
        <w:rPr>
          <w:rFonts w:ascii="Times New Roman" w:hAnsi="Times New Roman"/>
          <w:sz w:val="24"/>
          <w:szCs w:val="24"/>
        </w:rPr>
        <w:t xml:space="preserve"> statistics of soft symbols i.e. the mean and the variance of the soft symbol as</w:t>
      </w:r>
    </w:p>
    <w:p w:rsidR="00F114A2" w:rsidRPr="00F7269C" w:rsidRDefault="00F7269C" w:rsidP="00F7269C">
      <w:pPr>
        <w:pStyle w:val="Text"/>
        <w:jc w:val="both"/>
        <w:rPr>
          <w:rFonts w:ascii="Times New Roman" w:hAnsi="Times New Roman"/>
          <w:color w:val="000000" w:themeColor="text1"/>
          <w:sz w:val="24"/>
          <w:szCs w:val="24"/>
        </w:rPr>
      </w:pPr>
      <w:r w:rsidRPr="00501BBC">
        <w:rPr>
          <w:noProof/>
        </w:rPr>
        <w:drawing>
          <wp:inline distT="0" distB="0" distL="0" distR="0" wp14:anchorId="5F275C33" wp14:editId="0408E846">
            <wp:extent cx="3028950" cy="990600"/>
            <wp:effectExtent l="0" t="0" r="0" b="0"/>
            <wp:docPr id="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3028950" cy="990600"/>
                    </a:xfrm>
                    <a:prstGeom prst="rect">
                      <a:avLst/>
                    </a:prstGeom>
                  </pic:spPr>
                </pic:pic>
              </a:graphicData>
            </a:graphic>
          </wp:inline>
        </w:drawing>
      </w:r>
    </w:p>
    <w:p w:rsidR="00FA26FA" w:rsidRDefault="0094130F" w:rsidP="00404AAF">
      <w:pPr>
        <w:jc w:val="both"/>
        <w:rPr>
          <w:sz w:val="24"/>
          <w:szCs w:val="24"/>
          <w:lang w:val="en-GB"/>
        </w:rPr>
      </w:pPr>
      <w:r w:rsidRPr="00501BBC">
        <w:rPr>
          <w:noProof/>
        </w:rPr>
        <w:drawing>
          <wp:inline distT="0" distB="0" distL="0" distR="0" wp14:anchorId="21E86C00" wp14:editId="6C83F6E4">
            <wp:extent cx="3524250" cy="161925"/>
            <wp:effectExtent l="0" t="0" r="0" b="9525"/>
            <wp:docPr id="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3524250" cy="161925"/>
                    </a:xfrm>
                    <a:prstGeom prst="rect">
                      <a:avLst/>
                    </a:prstGeom>
                  </pic:spPr>
                </pic:pic>
              </a:graphicData>
            </a:graphic>
          </wp:inline>
        </w:drawing>
      </w:r>
    </w:p>
    <w:p w:rsidR="0094130F" w:rsidRDefault="0094130F" w:rsidP="00404AAF">
      <w:pPr>
        <w:jc w:val="both"/>
        <w:rPr>
          <w:sz w:val="24"/>
          <w:szCs w:val="24"/>
          <w:lang w:val="en-GB"/>
        </w:rPr>
      </w:pPr>
    </w:p>
    <w:p w:rsidR="0094130F" w:rsidRPr="0094130F" w:rsidRDefault="0094130F" w:rsidP="0094130F">
      <w:pPr>
        <w:rPr>
          <w:sz w:val="24"/>
        </w:rPr>
      </w:pPr>
      <w:r w:rsidRPr="0094130F">
        <w:rPr>
          <w:sz w:val="24"/>
        </w:rPr>
        <w:t>and the probability of each symbol in the constellation as</w:t>
      </w:r>
    </w:p>
    <w:p w:rsidR="00F12339" w:rsidRDefault="00F12339" w:rsidP="0094130F">
      <w:pPr>
        <w:pStyle w:val="ListParagraph"/>
      </w:pPr>
    </w:p>
    <w:p w:rsidR="0094130F" w:rsidRDefault="0094130F" w:rsidP="0094130F">
      <w:pPr>
        <w:pStyle w:val="ListParagraph"/>
      </w:pPr>
      <w:r w:rsidRPr="00501BBC">
        <w:rPr>
          <w:noProof/>
        </w:rPr>
        <w:drawing>
          <wp:inline distT="0" distB="0" distL="0" distR="0" wp14:anchorId="681E9AB8" wp14:editId="792270E3">
            <wp:extent cx="2838450" cy="1666875"/>
            <wp:effectExtent l="0" t="0" r="0" b="9525"/>
            <wp:docPr id="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2838450" cy="1666875"/>
                    </a:xfrm>
                    <a:prstGeom prst="rect">
                      <a:avLst/>
                    </a:prstGeom>
                  </pic:spPr>
                </pic:pic>
              </a:graphicData>
            </a:graphic>
          </wp:inline>
        </w:drawing>
      </w:r>
    </w:p>
    <w:p w:rsidR="00F12339" w:rsidRDefault="00F12339" w:rsidP="0094130F">
      <w:pPr>
        <w:pStyle w:val="ListParagraph"/>
      </w:pPr>
    </w:p>
    <w:p w:rsidR="00F12339" w:rsidRPr="00FA2948" w:rsidRDefault="00FA2948" w:rsidP="00F12339">
      <w:pPr>
        <w:pStyle w:val="ListParagraph"/>
        <w:numPr>
          <w:ilvl w:val="0"/>
          <w:numId w:val="34"/>
        </w:numPr>
        <w:spacing w:after="200" w:line="276" w:lineRule="auto"/>
        <w:contextualSpacing/>
        <w:rPr>
          <w:rFonts w:ascii="Times New Roman" w:hAnsi="Times New Roman"/>
          <w:sz w:val="24"/>
        </w:rPr>
      </w:pPr>
      <w:r>
        <w:rPr>
          <w:rFonts w:ascii="Times New Roman" w:hAnsi="Times New Roman"/>
          <w:sz w:val="24"/>
        </w:rPr>
        <w:t>O</w:t>
      </w:r>
      <w:r w:rsidRPr="00FA2948">
        <w:rPr>
          <w:rFonts w:ascii="Times New Roman" w:hAnsi="Times New Roman"/>
          <w:sz w:val="24"/>
        </w:rPr>
        <w:t>btain</w:t>
      </w:r>
      <w:r w:rsidR="00F12339" w:rsidRPr="00FA2948">
        <w:rPr>
          <w:rFonts w:ascii="Times New Roman" w:hAnsi="Times New Roman"/>
          <w:sz w:val="24"/>
        </w:rPr>
        <w:t xml:space="preserve"> the symbol probability it obtain the noise co-variance as  </w:t>
      </w:r>
    </w:p>
    <w:p w:rsidR="00F12339" w:rsidRDefault="00F12339" w:rsidP="00F12339">
      <w:pPr>
        <w:pStyle w:val="ListParagraph"/>
      </w:pPr>
      <w:r w:rsidRPr="00501BBC">
        <w:rPr>
          <w:noProof/>
        </w:rPr>
        <w:drawing>
          <wp:inline distT="0" distB="0" distL="0" distR="0" wp14:anchorId="7ADDA941" wp14:editId="24B31E06">
            <wp:extent cx="3569818" cy="1128946"/>
            <wp:effectExtent l="0" t="0" r="0" b="0"/>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3597212" cy="1137609"/>
                    </a:xfrm>
                    <a:prstGeom prst="rect">
                      <a:avLst/>
                    </a:prstGeom>
                  </pic:spPr>
                </pic:pic>
              </a:graphicData>
            </a:graphic>
          </wp:inline>
        </w:drawing>
      </w:r>
    </w:p>
    <w:p w:rsidR="00F12339" w:rsidRDefault="00F12339" w:rsidP="00F12339"/>
    <w:p w:rsidR="00F12339" w:rsidRPr="00305694" w:rsidRDefault="00F12339" w:rsidP="00305694">
      <w:pPr>
        <w:jc w:val="both"/>
        <w:rPr>
          <w:sz w:val="24"/>
        </w:rPr>
      </w:pPr>
      <w:r w:rsidRPr="00305694">
        <w:rPr>
          <w:sz w:val="24"/>
        </w:rPr>
        <w:t>Where R is the received vector per each sub carrier, H is the channel matrix estimated, S</w:t>
      </w:r>
      <w:r w:rsidRPr="00305694">
        <w:rPr>
          <w:strike/>
          <w:sz w:val="24"/>
        </w:rPr>
        <w:t>i</w:t>
      </w:r>
      <w:r w:rsidRPr="00305694">
        <w:rPr>
          <w:sz w:val="24"/>
        </w:rPr>
        <w:t xml:space="preserve"> is the symbol for the PDSCH constellation and P is the probability of the complex symbol computed in </w:t>
      </w:r>
      <w:r w:rsidR="00305694">
        <w:rPr>
          <w:sz w:val="24"/>
        </w:rPr>
        <w:t xml:space="preserve">step 2 </w:t>
      </w:r>
    </w:p>
    <w:p w:rsidR="00FA2948" w:rsidRPr="00FA2948" w:rsidRDefault="00FA2948" w:rsidP="00FA2948">
      <w:pPr>
        <w:pStyle w:val="ListParagraph"/>
        <w:numPr>
          <w:ilvl w:val="0"/>
          <w:numId w:val="34"/>
        </w:numPr>
        <w:spacing w:after="200" w:line="276" w:lineRule="auto"/>
        <w:contextualSpacing/>
        <w:jc w:val="both"/>
        <w:rPr>
          <w:rFonts w:ascii="Times New Roman" w:hAnsi="Times New Roman"/>
          <w:sz w:val="24"/>
        </w:rPr>
      </w:pPr>
      <w:r>
        <w:rPr>
          <w:rFonts w:ascii="Times New Roman" w:hAnsi="Times New Roman"/>
          <w:sz w:val="24"/>
        </w:rPr>
        <w:t xml:space="preserve">Compute the noise covariance as in step 3 and </w:t>
      </w:r>
      <w:r w:rsidRPr="00FA2948">
        <w:rPr>
          <w:rFonts w:ascii="Times New Roman" w:hAnsi="Times New Roman"/>
          <w:sz w:val="24"/>
        </w:rPr>
        <w:t xml:space="preserve">computes the SINR as signal power/noise co-variance. In general signal power is assumed to be unity for constellation for QPSK, 16 QAM, </w:t>
      </w:r>
      <w:r w:rsidRPr="00FA2948">
        <w:rPr>
          <w:rFonts w:ascii="Times New Roman" w:hAnsi="Times New Roman"/>
          <w:sz w:val="24"/>
        </w:rPr>
        <w:t>64 QAM</w:t>
      </w:r>
      <w:r w:rsidRPr="00FA2948">
        <w:rPr>
          <w:rFonts w:ascii="Times New Roman" w:hAnsi="Times New Roman"/>
          <w:sz w:val="24"/>
        </w:rPr>
        <w:t xml:space="preserve"> and 256 QAM.</w:t>
      </w:r>
    </w:p>
    <w:p w:rsidR="00944F1C" w:rsidRDefault="00944F1C" w:rsidP="00944F1C">
      <w:pPr>
        <w:pStyle w:val="ListParagraph"/>
        <w:numPr>
          <w:ilvl w:val="0"/>
          <w:numId w:val="34"/>
        </w:numPr>
        <w:spacing w:after="200" w:line="276" w:lineRule="auto"/>
        <w:contextualSpacing/>
        <w:rPr>
          <w:rFonts w:ascii="Times New Roman" w:hAnsi="Times New Roman"/>
          <w:sz w:val="24"/>
        </w:rPr>
      </w:pPr>
      <w:r w:rsidRPr="00944F1C">
        <w:rPr>
          <w:rFonts w:ascii="Times New Roman" w:hAnsi="Times New Roman"/>
          <w:sz w:val="24"/>
        </w:rPr>
        <w:t xml:space="preserve">From the SINR, map the corresponding MCS which corresponds to 10% threshold and schedule the UE with the corresponding MCS </w:t>
      </w:r>
    </w:p>
    <w:p w:rsidR="006D3BFA" w:rsidRDefault="006D3BFA" w:rsidP="00982EB1">
      <w:pPr>
        <w:rPr>
          <w:b/>
          <w:sz w:val="24"/>
        </w:rPr>
      </w:pPr>
    </w:p>
    <w:p w:rsidR="006D3BFA" w:rsidRDefault="006D3BFA" w:rsidP="00982EB1">
      <w:pPr>
        <w:rPr>
          <w:b/>
          <w:sz w:val="24"/>
        </w:rPr>
      </w:pPr>
    </w:p>
    <w:p w:rsidR="006D3BFA" w:rsidRDefault="006D3BFA" w:rsidP="006D3BFA">
      <w:pPr>
        <w:rPr>
          <w:b/>
          <w:sz w:val="24"/>
        </w:rPr>
      </w:pPr>
      <w:r w:rsidRPr="00AD2BEA">
        <w:rPr>
          <w:b/>
          <w:sz w:val="24"/>
        </w:rPr>
        <w:lastRenderedPageBreak/>
        <w:t>Proposal</w:t>
      </w:r>
      <w:r>
        <w:rPr>
          <w:b/>
          <w:sz w:val="24"/>
        </w:rPr>
        <w:t xml:space="preserve"> 2:  RAN1 should study techniques for finding the approximate expression SINR for NOAM receivers for performing LA in NOMA scenarios</w:t>
      </w:r>
    </w:p>
    <w:p w:rsidR="006D3BFA" w:rsidRDefault="006D3BFA" w:rsidP="00982EB1">
      <w:pPr>
        <w:rPr>
          <w:b/>
          <w:sz w:val="24"/>
        </w:rPr>
      </w:pPr>
      <w:bookmarkStart w:id="1" w:name="_GoBack"/>
      <w:bookmarkEnd w:id="1"/>
    </w:p>
    <w:p w:rsidR="00982EB1" w:rsidRDefault="009E3FCB" w:rsidP="00982EB1">
      <w:pPr>
        <w:rPr>
          <w:b/>
          <w:sz w:val="24"/>
        </w:rPr>
      </w:pPr>
      <w:r w:rsidRPr="00AD2BEA">
        <w:rPr>
          <w:b/>
          <w:sz w:val="24"/>
        </w:rPr>
        <w:t>Proposal</w:t>
      </w:r>
      <w:r w:rsidR="006D3BFA">
        <w:rPr>
          <w:b/>
          <w:sz w:val="24"/>
        </w:rPr>
        <w:t xml:space="preserve"> 3</w:t>
      </w:r>
      <w:r>
        <w:rPr>
          <w:b/>
          <w:sz w:val="24"/>
        </w:rPr>
        <w:t>:</w:t>
      </w:r>
      <w:r w:rsidR="00982EB1">
        <w:rPr>
          <w:b/>
          <w:sz w:val="24"/>
        </w:rPr>
        <w:t xml:space="preserve"> </w:t>
      </w:r>
      <w:r w:rsidR="005A2272">
        <w:rPr>
          <w:b/>
          <w:sz w:val="24"/>
        </w:rPr>
        <w:t xml:space="preserve"> </w:t>
      </w:r>
      <w:r w:rsidR="008F56B1">
        <w:rPr>
          <w:b/>
          <w:sz w:val="24"/>
        </w:rPr>
        <w:t xml:space="preserve">For performing link adaptation using advanced receivers the above method is captured in TR </w:t>
      </w:r>
    </w:p>
    <w:p w:rsidR="003C01AD" w:rsidRDefault="009E3FCB" w:rsidP="003C01AD">
      <w:pPr>
        <w:pStyle w:val="Heading1"/>
      </w:pPr>
      <w:r>
        <w:t>Conclusions</w:t>
      </w:r>
    </w:p>
    <w:p w:rsidR="0041434F" w:rsidRDefault="00141AC7" w:rsidP="005C1BF7">
      <w:pPr>
        <w:jc w:val="both"/>
        <w:rPr>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w:t>
      </w:r>
      <w:r w:rsidR="005A2272">
        <w:rPr>
          <w:sz w:val="24"/>
          <w:szCs w:val="24"/>
          <w:lang w:val="en-GB"/>
        </w:rPr>
        <w:t>NOMA procedures.</w:t>
      </w:r>
      <w:r w:rsidR="009E3FCB">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912343" w:rsidRDefault="00912343" w:rsidP="00912343">
      <w:pPr>
        <w:rPr>
          <w:b/>
          <w:sz w:val="24"/>
        </w:rPr>
      </w:pPr>
      <w:r w:rsidRPr="00AD2BEA">
        <w:rPr>
          <w:b/>
          <w:sz w:val="24"/>
        </w:rPr>
        <w:t>Proposal</w:t>
      </w:r>
      <w:r>
        <w:rPr>
          <w:b/>
          <w:sz w:val="24"/>
        </w:rPr>
        <w:t xml:space="preserve"> 1:  For grant based transmissions, spreading factor should be indicated in the downlink control channel for smooth transition between NOMA and OMA</w:t>
      </w:r>
    </w:p>
    <w:p w:rsidR="005A2272" w:rsidRDefault="005A2272" w:rsidP="005A2272">
      <w:pPr>
        <w:rPr>
          <w:b/>
          <w:sz w:val="24"/>
        </w:rPr>
      </w:pPr>
      <w:r w:rsidRPr="00AD2BEA">
        <w:rPr>
          <w:b/>
          <w:sz w:val="24"/>
        </w:rPr>
        <w:t>Proposal</w:t>
      </w:r>
      <w:r>
        <w:rPr>
          <w:b/>
          <w:sz w:val="24"/>
        </w:rPr>
        <w:t xml:space="preserve"> 2:  RAN1 should study techniques for finding the approximate expression SINR for NOAM receivers for performing LA in NOMA scenarios</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6C7" w:rsidRDefault="00E936C7" w:rsidP="00A03DF3">
      <w:pPr>
        <w:spacing w:after="0"/>
      </w:pPr>
      <w:r>
        <w:separator/>
      </w:r>
    </w:p>
  </w:endnote>
  <w:endnote w:type="continuationSeparator" w:id="0">
    <w:p w:rsidR="00E936C7" w:rsidRDefault="00E936C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D3BF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3BF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6C7" w:rsidRDefault="00E936C7" w:rsidP="00A03DF3">
      <w:pPr>
        <w:spacing w:after="0"/>
      </w:pPr>
      <w:r>
        <w:separator/>
      </w:r>
    </w:p>
  </w:footnote>
  <w:footnote w:type="continuationSeparator" w:id="0">
    <w:p w:rsidR="00E936C7" w:rsidRDefault="00E936C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55306F"/>
    <w:multiLevelType w:val="hybridMultilevel"/>
    <w:tmpl w:val="F22E72E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2574D9"/>
    <w:multiLevelType w:val="hybridMultilevel"/>
    <w:tmpl w:val="DD9C2F16"/>
    <w:lvl w:ilvl="0" w:tplc="2BE66366">
      <w:start w:val="3"/>
      <w:numFmt w:val="decimal"/>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3" w15:restartNumberingAfterBreak="0">
    <w:nsid w:val="7A6B1F4F"/>
    <w:multiLevelType w:val="hybridMultilevel"/>
    <w:tmpl w:val="B6AA5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6"/>
  </w:num>
  <w:num w:numId="9">
    <w:abstractNumId w:val="7"/>
  </w:num>
  <w:num w:numId="10">
    <w:abstractNumId w:val="28"/>
  </w:num>
  <w:num w:numId="11">
    <w:abstractNumId w:val="16"/>
  </w:num>
  <w:num w:numId="12">
    <w:abstractNumId w:val="17"/>
  </w:num>
  <w:num w:numId="13">
    <w:abstractNumId w:val="27"/>
  </w:num>
  <w:num w:numId="14">
    <w:abstractNumId w:val="29"/>
  </w:num>
  <w:num w:numId="15">
    <w:abstractNumId w:val="12"/>
  </w:num>
  <w:num w:numId="16">
    <w:abstractNumId w:val="6"/>
  </w:num>
  <w:num w:numId="17">
    <w:abstractNumId w:val="8"/>
  </w:num>
  <w:num w:numId="18">
    <w:abstractNumId w:val="4"/>
  </w:num>
  <w:num w:numId="19">
    <w:abstractNumId w:val="23"/>
  </w:num>
  <w:num w:numId="20">
    <w:abstractNumId w:val="31"/>
  </w:num>
  <w:num w:numId="21">
    <w:abstractNumId w:val="24"/>
  </w:num>
  <w:num w:numId="22">
    <w:abstractNumId w:val="9"/>
  </w:num>
  <w:num w:numId="23">
    <w:abstractNumId w:val="30"/>
  </w:num>
  <w:num w:numId="24">
    <w:abstractNumId w:val="25"/>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 w:numId="32">
    <w:abstractNumId w:val="3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29D"/>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09CC"/>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4701F"/>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460F"/>
    <w:rsid w:val="002D715D"/>
    <w:rsid w:val="002E1602"/>
    <w:rsid w:val="002E49EA"/>
    <w:rsid w:val="002E71E9"/>
    <w:rsid w:val="002F5D5F"/>
    <w:rsid w:val="00301634"/>
    <w:rsid w:val="00304012"/>
    <w:rsid w:val="00304027"/>
    <w:rsid w:val="00305694"/>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A2272"/>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3BFA"/>
    <w:rsid w:val="006D7EDD"/>
    <w:rsid w:val="006E106D"/>
    <w:rsid w:val="006E622A"/>
    <w:rsid w:val="006F40C3"/>
    <w:rsid w:val="007025ED"/>
    <w:rsid w:val="00703FD1"/>
    <w:rsid w:val="00704914"/>
    <w:rsid w:val="00707673"/>
    <w:rsid w:val="00713A97"/>
    <w:rsid w:val="007222D9"/>
    <w:rsid w:val="00734042"/>
    <w:rsid w:val="0075368F"/>
    <w:rsid w:val="007570AF"/>
    <w:rsid w:val="0076369B"/>
    <w:rsid w:val="00765997"/>
    <w:rsid w:val="00767F04"/>
    <w:rsid w:val="00783699"/>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19C0"/>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40FE"/>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6BA"/>
    <w:rsid w:val="008E5AEC"/>
    <w:rsid w:val="008E79CD"/>
    <w:rsid w:val="008F56B1"/>
    <w:rsid w:val="008F6D92"/>
    <w:rsid w:val="009014E4"/>
    <w:rsid w:val="009060A4"/>
    <w:rsid w:val="009067DC"/>
    <w:rsid w:val="00907B1C"/>
    <w:rsid w:val="00912271"/>
    <w:rsid w:val="00912343"/>
    <w:rsid w:val="00915366"/>
    <w:rsid w:val="009219A0"/>
    <w:rsid w:val="00922408"/>
    <w:rsid w:val="00925E3F"/>
    <w:rsid w:val="00926AF5"/>
    <w:rsid w:val="00934C11"/>
    <w:rsid w:val="00935907"/>
    <w:rsid w:val="00936B02"/>
    <w:rsid w:val="00940D65"/>
    <w:rsid w:val="0094130F"/>
    <w:rsid w:val="00944073"/>
    <w:rsid w:val="00944F1C"/>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27D"/>
    <w:rsid w:val="00AA043A"/>
    <w:rsid w:val="00AA15A8"/>
    <w:rsid w:val="00AA4C02"/>
    <w:rsid w:val="00AB207B"/>
    <w:rsid w:val="00AB2E0F"/>
    <w:rsid w:val="00AB4AA7"/>
    <w:rsid w:val="00AD2BEA"/>
    <w:rsid w:val="00AE1C30"/>
    <w:rsid w:val="00AF11BB"/>
    <w:rsid w:val="00AF7DB7"/>
    <w:rsid w:val="00B0283A"/>
    <w:rsid w:val="00B0395F"/>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1C25"/>
    <w:rsid w:val="00BA25B0"/>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1B2D"/>
    <w:rsid w:val="00D345AE"/>
    <w:rsid w:val="00D34C5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3C66"/>
    <w:rsid w:val="00DE4482"/>
    <w:rsid w:val="00DE5572"/>
    <w:rsid w:val="00DE6849"/>
    <w:rsid w:val="00DF0086"/>
    <w:rsid w:val="00DF34A8"/>
    <w:rsid w:val="00E00063"/>
    <w:rsid w:val="00E04EDA"/>
    <w:rsid w:val="00E05CD9"/>
    <w:rsid w:val="00E362BE"/>
    <w:rsid w:val="00E4305F"/>
    <w:rsid w:val="00E45FB5"/>
    <w:rsid w:val="00E513A1"/>
    <w:rsid w:val="00E54F5A"/>
    <w:rsid w:val="00E610B6"/>
    <w:rsid w:val="00E64A12"/>
    <w:rsid w:val="00E6589C"/>
    <w:rsid w:val="00E65B08"/>
    <w:rsid w:val="00E720A5"/>
    <w:rsid w:val="00E72CE0"/>
    <w:rsid w:val="00E821F1"/>
    <w:rsid w:val="00E82924"/>
    <w:rsid w:val="00E83126"/>
    <w:rsid w:val="00E91079"/>
    <w:rsid w:val="00E9130A"/>
    <w:rsid w:val="00E936C7"/>
    <w:rsid w:val="00EA335B"/>
    <w:rsid w:val="00EA5089"/>
    <w:rsid w:val="00EA68A6"/>
    <w:rsid w:val="00EB6F52"/>
    <w:rsid w:val="00EB7EC2"/>
    <w:rsid w:val="00EE0EBE"/>
    <w:rsid w:val="00EE26C2"/>
    <w:rsid w:val="00F07248"/>
    <w:rsid w:val="00F114A2"/>
    <w:rsid w:val="00F11815"/>
    <w:rsid w:val="00F12339"/>
    <w:rsid w:val="00F131B9"/>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269C"/>
    <w:rsid w:val="00F736DB"/>
    <w:rsid w:val="00F749F8"/>
    <w:rsid w:val="00F81EE0"/>
    <w:rsid w:val="00F91FD1"/>
    <w:rsid w:val="00F93FB4"/>
    <w:rsid w:val="00FA1851"/>
    <w:rsid w:val="00FA26FA"/>
    <w:rsid w:val="00FA2948"/>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8E56B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8E56B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CD95D-74AC-46FD-A43F-316EDD51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26</cp:revision>
  <dcterms:created xsi:type="dcterms:W3CDTF">2018-04-07T01:06:00Z</dcterms:created>
  <dcterms:modified xsi:type="dcterms:W3CDTF">2018-08-10T18:11:00Z</dcterms:modified>
</cp:coreProperties>
</file>